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firstLine="0" w:left="5811"/>
        <w:rPr>
          <w:rFonts w:ascii="Times New Roman" w:hAnsi="Times New Roman"/>
          <w:sz w:val="28"/>
        </w:rPr>
      </w:pPr>
      <w:r>
        <w:rPr>
          <w:rFonts w:ascii="Times New Roman" w:hAnsi="Times New Roman"/>
          <w:sz w:val="28"/>
        </w:rPr>
        <w:t xml:space="preserve">Утверждены </w:t>
      </w:r>
    </w:p>
    <w:p w14:paraId="02000000">
      <w:pPr>
        <w:ind w:firstLine="0" w:left="5811"/>
        <w:rPr>
          <w:rFonts w:ascii="Times New Roman" w:hAnsi="Times New Roman"/>
          <w:sz w:val="28"/>
        </w:rPr>
      </w:pPr>
      <w:r>
        <w:rPr>
          <w:rFonts w:ascii="Times New Roman" w:hAnsi="Times New Roman"/>
          <w:sz w:val="28"/>
        </w:rPr>
        <w:t xml:space="preserve">постановлением </w:t>
      </w:r>
    </w:p>
    <w:p w14:paraId="03000000">
      <w:pPr>
        <w:ind w:firstLine="0" w:left="5811"/>
        <w:rPr>
          <w:rFonts w:ascii="Times New Roman" w:hAnsi="Times New Roman"/>
          <w:sz w:val="28"/>
        </w:rPr>
      </w:pPr>
      <w:r>
        <w:rPr>
          <w:rFonts w:ascii="Times New Roman" w:hAnsi="Times New Roman"/>
          <w:sz w:val="28"/>
        </w:rPr>
        <w:t>Правительства области</w:t>
      </w:r>
    </w:p>
    <w:p w14:paraId="04000000">
      <w:pPr>
        <w:ind w:firstLine="0" w:left="5811"/>
        <w:rPr>
          <w:rFonts w:ascii="Times New Roman" w:hAnsi="Times New Roman"/>
          <w:sz w:val="28"/>
        </w:rPr>
      </w:pPr>
      <w:r>
        <w:rPr>
          <w:rFonts w:ascii="Times New Roman" w:hAnsi="Times New Roman"/>
          <w:sz w:val="28"/>
        </w:rPr>
        <w:t>от 24 декабря 2019 года № 1300</w:t>
      </w:r>
    </w:p>
    <w:p w14:paraId="05000000">
      <w:pPr>
        <w:rPr>
          <w:rFonts w:ascii="Times New Roman" w:hAnsi="Times New Roman"/>
          <w:sz w:val="28"/>
        </w:rPr>
      </w:pPr>
    </w:p>
    <w:p w14:paraId="06000000">
      <w:pPr>
        <w:rPr>
          <w:rFonts w:ascii="Times New Roman" w:hAnsi="Times New Roman"/>
          <w:sz w:val="28"/>
        </w:rPr>
      </w:pPr>
    </w:p>
    <w:p w14:paraId="07000000">
      <w:pPr>
        <w:ind/>
        <w:jc w:val="center"/>
        <w:rPr>
          <w:rFonts w:ascii="Times New Roman" w:hAnsi="Times New Roman"/>
          <w:b w:val="1"/>
          <w:sz w:val="28"/>
        </w:rPr>
      </w:pPr>
      <w:r>
        <w:rPr>
          <w:rFonts w:ascii="Times New Roman" w:hAnsi="Times New Roman"/>
          <w:b w:val="1"/>
          <w:sz w:val="28"/>
        </w:rPr>
        <w:t>ПРАВИЛА</w:t>
      </w:r>
    </w:p>
    <w:p w14:paraId="08000000">
      <w:pPr>
        <w:ind/>
        <w:jc w:val="center"/>
        <w:rPr>
          <w:rFonts w:ascii="Times New Roman" w:hAnsi="Times New Roman"/>
          <w:b w:val="1"/>
          <w:sz w:val="28"/>
        </w:rPr>
      </w:pPr>
      <w:r>
        <w:rPr>
          <w:rFonts w:ascii="Times New Roman" w:hAnsi="Times New Roman"/>
          <w:b w:val="1"/>
          <w:sz w:val="28"/>
        </w:rPr>
        <w:t xml:space="preserve">ПРЕДОСТАВЛЕНИЯ И РАСПРЕДЕЛЕНИЯ СУБСИДИЙ </w:t>
      </w:r>
    </w:p>
    <w:p w14:paraId="09000000">
      <w:pPr>
        <w:ind/>
        <w:jc w:val="center"/>
        <w:rPr>
          <w:rFonts w:ascii="Times New Roman" w:hAnsi="Times New Roman"/>
          <w:b w:val="1"/>
          <w:sz w:val="28"/>
        </w:rPr>
      </w:pPr>
      <w:r>
        <w:rPr>
          <w:rFonts w:ascii="Times New Roman" w:hAnsi="Times New Roman"/>
          <w:b w:val="1"/>
          <w:sz w:val="28"/>
        </w:rPr>
        <w:t xml:space="preserve">НА ПРИОБРЕТЕНИЕ </w:t>
      </w:r>
      <w:r>
        <w:rPr>
          <w:rFonts w:ascii="Times New Roman" w:hAnsi="Times New Roman"/>
          <w:b w:val="1"/>
          <w:sz w:val="28"/>
        </w:rPr>
        <w:t xml:space="preserve">СПЕЦИАЛИЗИРОВАННОГО АВТОТРАНСПОРТА ДЛЯ РАЗВИТИЯ МОБИЛЬНОЙ </w:t>
      </w:r>
      <w:r>
        <w:rPr>
          <w:rFonts w:ascii="Times New Roman" w:hAnsi="Times New Roman"/>
          <w:b w:val="1"/>
          <w:sz w:val="28"/>
        </w:rPr>
        <w:t xml:space="preserve">ТОРГОВЛИ В МАЛОНАСЕЛЕННЫХ И (ИЛИ) ТРУДНОДОСТУПНЫХ </w:t>
      </w:r>
      <w:r>
        <w:rPr>
          <w:rFonts w:ascii="Times New Roman" w:hAnsi="Times New Roman"/>
          <w:b w:val="1"/>
          <w:sz w:val="28"/>
        </w:rPr>
        <w:t xml:space="preserve">НАСЕЛЕННЫХ ПУНКТАХ </w:t>
      </w:r>
    </w:p>
    <w:p w14:paraId="0A000000">
      <w:pPr>
        <w:ind/>
        <w:jc w:val="center"/>
        <w:rPr>
          <w:rFonts w:ascii="Times New Roman" w:hAnsi="Times New Roman"/>
          <w:sz w:val="28"/>
        </w:rPr>
      </w:pPr>
      <w:r>
        <w:rPr>
          <w:rFonts w:ascii="Times New Roman" w:hAnsi="Times New Roman"/>
          <w:b w:val="1"/>
          <w:sz w:val="28"/>
        </w:rPr>
        <w:t xml:space="preserve"> (</w:t>
      </w:r>
      <w:r>
        <w:rPr>
          <w:rFonts w:ascii="Times New Roman" w:hAnsi="Times New Roman"/>
          <w:b w:val="1"/>
          <w:sz w:val="28"/>
        </w:rPr>
        <w:t>далее</w:t>
      </w:r>
      <w:r>
        <w:rPr>
          <w:rFonts w:ascii="Times New Roman" w:hAnsi="Times New Roman"/>
          <w:b w:val="1"/>
          <w:sz w:val="28"/>
        </w:rPr>
        <w:t xml:space="preserve"> - Правила)</w:t>
      </w:r>
    </w:p>
    <w:p w14:paraId="0B000000">
      <w:pPr>
        <w:rPr>
          <w:rFonts w:ascii="Times New Roman" w:hAnsi="Times New Roman"/>
          <w:sz w:val="28"/>
        </w:rPr>
      </w:pPr>
    </w:p>
    <w:p w14:paraId="0C000000">
      <w:pPr>
        <w:ind/>
        <w:jc w:val="center"/>
        <w:rPr>
          <w:rFonts w:ascii="Times New Roman" w:hAnsi="Times New Roman"/>
          <w:sz w:val="28"/>
        </w:rPr>
      </w:pPr>
      <w:r>
        <w:rPr>
          <w:rFonts w:ascii="Times New Roman" w:hAnsi="Times New Roman"/>
          <w:sz w:val="28"/>
        </w:rPr>
        <w:t>1. Общие положения</w:t>
      </w:r>
    </w:p>
    <w:p w14:paraId="0D000000">
      <w:pPr>
        <w:rPr>
          <w:rFonts w:ascii="Times New Roman" w:hAnsi="Times New Roman"/>
          <w:sz w:val="28"/>
        </w:rPr>
      </w:pPr>
    </w:p>
    <w:p w14:paraId="0E000000">
      <w:pPr>
        <w:ind w:firstLine="709" w:left="0"/>
        <w:jc w:val="both"/>
        <w:rPr>
          <w:rFonts w:ascii="Times New Roman" w:hAnsi="Times New Roman"/>
          <w:sz w:val="28"/>
        </w:rPr>
      </w:pPr>
      <w:r>
        <w:rPr>
          <w:rFonts w:ascii="Times New Roman" w:hAnsi="Times New Roman"/>
          <w:sz w:val="28"/>
        </w:rPr>
        <w:t xml:space="preserve">1.1. Настоящими Правилами определяются цели, условия предоставления субсидий муниципальным округам, </w:t>
      </w:r>
      <w:r>
        <w:rPr>
          <w:rStyle w:val="Style_1_ch"/>
          <w:rFonts w:ascii="Times New Roman" w:hAnsi="Times New Roman"/>
          <w:sz w:val="28"/>
        </w:rPr>
        <w:t xml:space="preserve">муниципальным </w:t>
      </w:r>
      <w:r>
        <w:rPr>
          <w:rFonts w:ascii="Times New Roman" w:hAnsi="Times New Roman"/>
          <w:sz w:val="28"/>
        </w:rPr>
        <w:t>районам области (далее – муниципальные образования области) на приобретение специализированного автотранспорта для развития мобильной торговли в малонаселенных и (или) труднодоступных населенных пунктах (далее - субсидии), устанавливаются критерии и порядок отбора муниципальных образований области для предоставления субсидий, методика распределения субсидий между муниципальными образованиями области, уровень софинансирования за счет средств областного бюджета расходного обязательства муниципального образования области, порядок оценки эффективности использования субсидий, результаты использования субсидий, порядок расчета значений результатов использования субсидий, достигнутых муниципальными образованиями области, порядок обеспечения соблюдения муниципальными образованиями области целей, условий и порядка, установленных при предоставлении субсидий, в том числе сроков и порядка представления отчетности об использовании субсидий, последствий несоблюдения целей, условий, порядка предоставления субсидий, а также ответственность за неисполнение обязательств, предусмотренных соглашением о предоставлении из областного бюджета субсидии бюджету муниципального образования области.</w:t>
      </w:r>
    </w:p>
    <w:p w14:paraId="0F000000">
      <w:pPr>
        <w:ind w:firstLine="709" w:left="0"/>
        <w:jc w:val="both"/>
        <w:rPr>
          <w:rFonts w:ascii="Times New Roman" w:hAnsi="Times New Roman"/>
          <w:sz w:val="28"/>
        </w:rPr>
      </w:pPr>
      <w:r>
        <w:rPr>
          <w:rFonts w:ascii="Times New Roman" w:hAnsi="Times New Roman"/>
          <w:sz w:val="28"/>
        </w:rPr>
        <w:t>1.2. В настоящих Правилах используются следующие понятия:</w:t>
      </w:r>
    </w:p>
    <w:p w14:paraId="10000000">
      <w:pPr>
        <w:ind w:firstLine="709" w:left="0"/>
        <w:jc w:val="both"/>
        <w:rPr>
          <w:rFonts w:ascii="Times New Roman" w:hAnsi="Times New Roman"/>
          <w:sz w:val="28"/>
        </w:rPr>
      </w:pPr>
      <w:r>
        <w:rPr>
          <w:rFonts w:ascii="Times New Roman" w:hAnsi="Times New Roman"/>
          <w:sz w:val="28"/>
        </w:rPr>
        <w:t>труднодоступный населенный пункт - сельский населенный пункт, который в силу природных, техногенных и иных обстоятельств и (или) отсутствия элементов инфраструктуры является труднодоступным для транспортных средств, не имеющий действующих стационарных торговых объектов;</w:t>
      </w:r>
    </w:p>
    <w:p w14:paraId="11000000">
      <w:pPr>
        <w:ind w:firstLine="709" w:left="0"/>
        <w:jc w:val="both"/>
        <w:rPr>
          <w:rFonts w:ascii="Times New Roman" w:hAnsi="Times New Roman"/>
          <w:sz w:val="28"/>
        </w:rPr>
      </w:pPr>
      <w:r>
        <w:rPr>
          <w:rFonts w:ascii="Times New Roman" w:hAnsi="Times New Roman"/>
          <w:sz w:val="28"/>
        </w:rPr>
        <w:t>малонаселенный населенный пункт - сельский населенный пункт, число постоянно проживающего населения в котором составляет до 100 человек, не имеющий действующих стационарных торговых объектов;</w:t>
      </w:r>
    </w:p>
    <w:p w14:paraId="12000000">
      <w:pPr>
        <w:ind w:firstLine="709" w:left="0"/>
        <w:jc w:val="both"/>
        <w:rPr>
          <w:rFonts w:ascii="Times New Roman" w:hAnsi="Times New Roman"/>
          <w:sz w:val="28"/>
        </w:rPr>
      </w:pPr>
      <w:r>
        <w:rPr>
          <w:rFonts w:ascii="Times New Roman" w:hAnsi="Times New Roman"/>
          <w:sz w:val="28"/>
        </w:rPr>
        <w:t>специализированный автотранспорт (автолавка) - нестационарный торговый объект, представляющий собой автотранспортное средство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14:paraId="13000000">
      <w:pPr>
        <w:ind w:firstLine="709" w:left="0"/>
        <w:jc w:val="both"/>
        <w:rPr>
          <w:rFonts w:ascii="Times New Roman" w:hAnsi="Times New Roman"/>
          <w:sz w:val="28"/>
        </w:rPr>
      </w:pPr>
      <w:r>
        <w:rPr>
          <w:rFonts w:ascii="Times New Roman" w:hAnsi="Times New Roman"/>
          <w:sz w:val="28"/>
        </w:rPr>
        <w:t>1.3. Специализированный автотранспорт (автолавка) должен быть товаром, приобретенным в году предоставления субсидии, произведенным не ранее чем за год до года предоставления субсидии, который не был в употреблении, ремонте, в том числе не был восстановлен, у которого не была осуществлена замена составных частей, не были восстановлены потребительские свойства.</w:t>
      </w:r>
    </w:p>
    <w:p w14:paraId="14000000">
      <w:pPr>
        <w:ind w:firstLine="709" w:left="0"/>
        <w:jc w:val="both"/>
        <w:rPr>
          <w:rFonts w:ascii="Times New Roman" w:hAnsi="Times New Roman"/>
          <w:sz w:val="28"/>
        </w:rPr>
      </w:pPr>
      <w:r>
        <w:rPr>
          <w:rFonts w:ascii="Times New Roman" w:hAnsi="Times New Roman"/>
          <w:sz w:val="28"/>
        </w:rPr>
        <w:t>1.4. Специализированный автотранспорт (автолавка) может быть приобретен за счет средств кредита, предоставленного на данные цели, по договору лизинга с обязательным последующим направлением средств субсидии на погашение обязательств в течение десяти рабочих дней со дня получения средств субсидии.</w:t>
      </w:r>
    </w:p>
    <w:p w14:paraId="15000000">
      <w:pPr>
        <w:ind w:firstLine="709" w:left="0"/>
        <w:rPr>
          <w:rFonts w:ascii="Times New Roman" w:hAnsi="Times New Roman"/>
          <w:sz w:val="28"/>
        </w:rPr>
      </w:pPr>
    </w:p>
    <w:p w14:paraId="16000000">
      <w:pPr>
        <w:ind/>
        <w:jc w:val="center"/>
        <w:rPr>
          <w:rFonts w:ascii="Times New Roman" w:hAnsi="Times New Roman"/>
          <w:sz w:val="28"/>
        </w:rPr>
      </w:pPr>
      <w:r>
        <w:rPr>
          <w:rFonts w:ascii="Times New Roman" w:hAnsi="Times New Roman"/>
          <w:sz w:val="28"/>
        </w:rPr>
        <w:t>2. Целевое назначение субсидий</w:t>
      </w:r>
    </w:p>
    <w:p w14:paraId="17000000">
      <w:pPr>
        <w:ind/>
        <w:jc w:val="center"/>
        <w:rPr>
          <w:rFonts w:ascii="Times New Roman" w:hAnsi="Times New Roman"/>
          <w:sz w:val="28"/>
        </w:rPr>
      </w:pPr>
    </w:p>
    <w:p w14:paraId="18000000">
      <w:pPr>
        <w:ind w:firstLine="709" w:left="0"/>
        <w:jc w:val="both"/>
        <w:rPr>
          <w:rFonts w:ascii="Times New Roman" w:hAnsi="Times New Roman"/>
          <w:sz w:val="28"/>
        </w:rPr>
      </w:pPr>
      <w:r>
        <w:rPr>
          <w:rFonts w:ascii="Times New Roman" w:hAnsi="Times New Roman"/>
          <w:sz w:val="28"/>
        </w:rPr>
        <w:t>2.1. Целью предоставления субсидий является софинансирование расходных обязательств муниципальных образований области, возникающих при выполнении полномочий органов местного самоуправления муниципальных образований области по созданию условий для обеспечения муниципальных округов, поселений, входящих в состав муниципального района области, услугами торговли в части обеспечения жителей малонаселенных и (или) труднодоступных населенных пунктов, в которых отсутствуют стационарные торговые объекты, продовольственными товарами путем возмещения организациям любых форм собственности или индивидуальным предпринимателям, осуществляющим мобильную торговлю (далее - организации или ИП), части затрат на приобретение специализированного автотранспорта (автолавки) (далее - расходное обязательство).</w:t>
      </w:r>
    </w:p>
    <w:p w14:paraId="19000000">
      <w:pPr>
        <w:ind w:firstLine="709" w:left="0"/>
        <w:jc w:val="both"/>
        <w:rPr>
          <w:rFonts w:ascii="Times New Roman" w:hAnsi="Times New Roman"/>
          <w:sz w:val="28"/>
        </w:rPr>
      </w:pPr>
      <w:r>
        <w:rPr>
          <w:rFonts w:ascii="Times New Roman" w:hAnsi="Times New Roman"/>
          <w:sz w:val="28"/>
        </w:rPr>
        <w:t>Объем возмещения затрат организациям или ИП на приобретение специализированного автотранспорта (автолавки) устанавливается в размере 75% стоимости специализированного автотранспорта (автолавки), но не более 1500000 рублей.</w:t>
      </w:r>
    </w:p>
    <w:p w14:paraId="1A000000">
      <w:pPr>
        <w:ind w:firstLine="709" w:left="0"/>
        <w:jc w:val="both"/>
        <w:rPr>
          <w:rFonts w:ascii="Times New Roman" w:hAnsi="Times New Roman"/>
          <w:sz w:val="28"/>
        </w:rPr>
      </w:pPr>
      <w:r>
        <w:rPr>
          <w:rFonts w:ascii="Times New Roman" w:hAnsi="Times New Roman"/>
          <w:sz w:val="28"/>
        </w:rPr>
        <w:t>2.2. Субсидии имеют строго целевое назначение и расходуются муниципальными образованиями области исключительно на цели, указанные в пункте 1.1 настоящих Правил.</w:t>
      </w:r>
    </w:p>
    <w:p w14:paraId="1B000000">
      <w:pPr>
        <w:rPr>
          <w:rFonts w:ascii="Times New Roman" w:hAnsi="Times New Roman"/>
          <w:sz w:val="28"/>
        </w:rPr>
      </w:pPr>
    </w:p>
    <w:p w14:paraId="1C000000">
      <w:pPr>
        <w:ind/>
        <w:jc w:val="center"/>
        <w:rPr>
          <w:rFonts w:ascii="Times New Roman" w:hAnsi="Times New Roman"/>
          <w:sz w:val="28"/>
        </w:rPr>
      </w:pPr>
      <w:r>
        <w:rPr>
          <w:rFonts w:ascii="Times New Roman" w:hAnsi="Times New Roman"/>
          <w:sz w:val="28"/>
        </w:rPr>
        <w:t>3. Условия предоставления субсидий</w:t>
      </w:r>
    </w:p>
    <w:p w14:paraId="1D000000">
      <w:pPr>
        <w:rPr>
          <w:rFonts w:ascii="Times New Roman" w:hAnsi="Times New Roman"/>
          <w:sz w:val="28"/>
        </w:rPr>
      </w:pPr>
    </w:p>
    <w:p w14:paraId="1E000000">
      <w:pPr>
        <w:ind w:firstLine="709" w:left="0"/>
        <w:jc w:val="both"/>
        <w:rPr>
          <w:rFonts w:ascii="Times New Roman" w:hAnsi="Times New Roman"/>
          <w:sz w:val="28"/>
        </w:rPr>
      </w:pPr>
      <w:r>
        <w:rPr>
          <w:rFonts w:ascii="Times New Roman" w:hAnsi="Times New Roman"/>
          <w:sz w:val="28"/>
        </w:rPr>
        <w:t>3.1. Субсидии предоставляются Департаментом экономического развития области - главным распорядителем средств областного бюджета (далее - Департамент) муниципальным образованиям области при условиях:</w:t>
      </w:r>
    </w:p>
    <w:p w14:paraId="1F000000">
      <w:pPr>
        <w:ind w:firstLine="709" w:left="0"/>
        <w:jc w:val="both"/>
        <w:rPr>
          <w:rFonts w:ascii="Times New Roman" w:hAnsi="Times New Roman"/>
          <w:sz w:val="28"/>
        </w:rPr>
      </w:pPr>
      <w:r>
        <w:rPr>
          <w:rFonts w:ascii="Times New Roman" w:hAnsi="Times New Roman"/>
          <w:sz w:val="28"/>
        </w:rPr>
        <w:t>наличия в бюджете муниципального образования области (сводной бюджетной росписи местного бюджета) бюджетных ассигнований на исполнение расходных обязательств муниципального образования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14:paraId="20000000">
      <w:pPr>
        <w:ind w:firstLine="709" w:left="0"/>
        <w:jc w:val="both"/>
        <w:rPr>
          <w:rFonts w:ascii="Times New Roman" w:hAnsi="Times New Roman"/>
          <w:sz w:val="28"/>
        </w:rPr>
      </w:pPr>
      <w:r>
        <w:rPr>
          <w:rFonts w:ascii="Times New Roman" w:hAnsi="Times New Roman"/>
          <w:sz w:val="28"/>
        </w:rPr>
        <w:t>заключения соглашения о предоставлении из областного бюджета субсидии бюджету муниципального образования области, соответствующего требованиям пункта 15 Правил формирования, предоставления и распределения субсидий из областного бюджета бюджетам муниципальных образований, утвержденных постановлением Правительства области от 30 июня 2008 года № 1224 (далее - Правила № 1224), и предусматривающего обязательства муниципального образования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21000000">
      <w:pPr>
        <w:ind w:firstLine="709" w:left="0"/>
        <w:jc w:val="both"/>
        <w:rPr>
          <w:rFonts w:ascii="Times New Roman" w:hAnsi="Times New Roman"/>
          <w:sz w:val="28"/>
        </w:rPr>
      </w:pPr>
      <w:r>
        <w:rPr>
          <w:rFonts w:ascii="Times New Roman" w:hAnsi="Times New Roman"/>
          <w:sz w:val="28"/>
        </w:rPr>
        <w:t>3.2. Предоставление субсидии бюджетам муниципальных образований области осуществляется на основании Соглашения, заключаемого между Департаментом и муниципальным образованием области по форме, утвержденной Департаментом в соответствии с типовой формой соглашения о предоставлении субсидии из областного бюджета бюджету муниципального образования области, утвержденной Департаментом финансов области.</w:t>
      </w:r>
    </w:p>
    <w:p w14:paraId="22000000">
      <w:pPr>
        <w:ind w:firstLine="709" w:left="0"/>
        <w:jc w:val="both"/>
        <w:rPr>
          <w:rFonts w:ascii="Times New Roman" w:hAnsi="Times New Roman"/>
          <w:sz w:val="28"/>
        </w:rPr>
      </w:pPr>
      <w:r>
        <w:rPr>
          <w:rFonts w:ascii="Times New Roman" w:hAnsi="Times New Roman"/>
          <w:sz w:val="28"/>
        </w:rPr>
        <w:t>3.3. Соглашение заключается в сроки, предусмотренные Правилами № 1224.</w:t>
      </w:r>
    </w:p>
    <w:p w14:paraId="23000000">
      <w:pPr>
        <w:ind w:firstLine="709" w:left="0"/>
        <w:jc w:val="both"/>
        <w:rPr>
          <w:rFonts w:ascii="Times New Roman" w:hAnsi="Times New Roman"/>
          <w:sz w:val="28"/>
        </w:rPr>
      </w:pPr>
      <w:r>
        <w:rPr>
          <w:rFonts w:ascii="Times New Roman" w:hAnsi="Times New Roman"/>
          <w:sz w:val="28"/>
        </w:rPr>
        <w:t>3.4. Для заключения Соглашения муниципальные образования области направляют в Департамент:</w:t>
      </w:r>
    </w:p>
    <w:p w14:paraId="24000000">
      <w:pPr>
        <w:ind w:firstLine="709" w:left="0"/>
        <w:jc w:val="both"/>
        <w:rPr>
          <w:rFonts w:ascii="Times New Roman" w:hAnsi="Times New Roman"/>
          <w:sz w:val="28"/>
        </w:rPr>
      </w:pPr>
      <w:r>
        <w:rPr>
          <w:rFonts w:ascii="Times New Roman" w:hAnsi="Times New Roman"/>
          <w:sz w:val="28"/>
        </w:rPr>
        <w:t>выписку из решения о бюджете муниципального образования области (сводной бюджетной росписи местного бюджета) на текущий финансовый год по строке бюджетного ассигнования на соответствующее расходное обязательство;</w:t>
      </w:r>
    </w:p>
    <w:p w14:paraId="25000000">
      <w:pPr>
        <w:ind w:firstLine="709" w:left="0"/>
        <w:jc w:val="both"/>
        <w:rPr>
          <w:rFonts w:ascii="Times New Roman" w:hAnsi="Times New Roman"/>
          <w:sz w:val="28"/>
        </w:rPr>
      </w:pPr>
      <w:r>
        <w:rPr>
          <w:rFonts w:ascii="Times New Roman" w:hAnsi="Times New Roman"/>
          <w:sz w:val="28"/>
        </w:rPr>
        <w:t>выписку из муниципальной программы с указанием мероприятия, соответствующего целевому назначению субсидий, и значений результатов использования субсидий.</w:t>
      </w:r>
    </w:p>
    <w:p w14:paraId="26000000">
      <w:pPr>
        <w:ind w:firstLine="709" w:left="0"/>
        <w:jc w:val="both"/>
        <w:rPr>
          <w:rFonts w:ascii="Times New Roman" w:hAnsi="Times New Roman"/>
          <w:sz w:val="28"/>
        </w:rPr>
      </w:pPr>
      <w:r>
        <w:rPr>
          <w:rFonts w:ascii="Times New Roman" w:hAnsi="Times New Roman"/>
          <w:sz w:val="28"/>
        </w:rPr>
        <w:t>3.5. Субсидии предоставляются бюджетам муниципальных образований области в пределах бюджетных ассигнований, утвержденных законом области об областном бюджете на соответствующий финансовый год, и доведенных лимитов бюджетных обязательств.</w:t>
      </w:r>
    </w:p>
    <w:p w14:paraId="27000000">
      <w:pPr>
        <w:ind w:firstLine="709" w:left="0"/>
        <w:jc w:val="both"/>
        <w:rPr>
          <w:rFonts w:ascii="Times New Roman" w:hAnsi="Times New Roman"/>
          <w:sz w:val="28"/>
        </w:rPr>
      </w:pPr>
      <w:r>
        <w:rPr>
          <w:rFonts w:ascii="Times New Roman" w:hAnsi="Times New Roman"/>
          <w:sz w:val="28"/>
        </w:rPr>
        <w:t>3.6. Для осуществления финансирования расходов на специализированный автотранспорт (автолавку) муниципальные образования области направляют в Департамент заверенные уполномоченным лицом муниципального образования области копии следующих документов:</w:t>
      </w:r>
    </w:p>
    <w:p w14:paraId="28000000">
      <w:pPr>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выписки из единого государственного реестра юридических лиц по состоянию на дату не ранее чем за месяц до предоставления документов в Департамент  </w:t>
      </w:r>
      <w:r>
        <w:rPr>
          <w:rFonts w:ascii="Times New Roman" w:hAnsi="Times New Roman"/>
          <w:color w:themeColor="text1" w:val="000000"/>
          <w:sz w:val="28"/>
        </w:rPr>
        <w:t>(в случае возмещения затрат юридического лица на приобретение специализированного автотранспорта (автолавки))</w:t>
      </w:r>
      <w:r>
        <w:rPr>
          <w:rFonts w:ascii="Times New Roman" w:hAnsi="Times New Roman"/>
          <w:color w:themeColor="text1" w:val="000000"/>
          <w:sz w:val="28"/>
        </w:rPr>
        <w:t>;</w:t>
      </w:r>
    </w:p>
    <w:p w14:paraId="29000000">
      <w:pPr>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выписки из единого государственного реестра индивидуальных предпринимателей по состоянию на дату не ранее чем за месяц до предоставления документов в Департамент  </w:t>
      </w:r>
      <w:r>
        <w:rPr>
          <w:rFonts w:ascii="Times New Roman" w:hAnsi="Times New Roman"/>
          <w:color w:themeColor="text1" w:val="000000"/>
          <w:sz w:val="28"/>
        </w:rPr>
        <w:t>(</w:t>
      </w:r>
      <w:r>
        <w:rPr>
          <w:rFonts w:ascii="Times New Roman" w:hAnsi="Times New Roman"/>
          <w:color w:themeColor="text1" w:val="000000"/>
          <w:sz w:val="28"/>
        </w:rPr>
        <w:t>в случае возмещения затрат индивидуального предпринимателя на приобретение специализированного автотранспорта (автолавки)</w:t>
      </w:r>
      <w:r>
        <w:rPr>
          <w:rFonts w:ascii="Times New Roman" w:hAnsi="Times New Roman"/>
          <w:color w:themeColor="text1" w:val="000000"/>
          <w:sz w:val="28"/>
        </w:rPr>
        <w:t>);</w:t>
      </w:r>
    </w:p>
    <w:p w14:paraId="2A000000">
      <w:pPr>
        <w:ind w:firstLine="709" w:left="0"/>
        <w:jc w:val="both"/>
        <w:rPr>
          <w:rFonts w:ascii="Times New Roman" w:hAnsi="Times New Roman"/>
          <w:sz w:val="28"/>
        </w:rPr>
      </w:pPr>
      <w:r>
        <w:rPr>
          <w:rFonts w:ascii="Times New Roman" w:hAnsi="Times New Roman"/>
          <w:sz w:val="28"/>
        </w:rPr>
        <w:t>договора купли-продажи специализированного автотранспорта (автолавки) или кредитного (лизингового) договора и документов, подтверждающих оплату по договору купли-продажи специализированного автотранспорта (автолавки), или документов об уплате первоначального взноса по кредитному (лизинговому) договору;</w:t>
      </w:r>
    </w:p>
    <w:p w14:paraId="2B000000">
      <w:pPr>
        <w:ind w:firstLine="709" w:left="0"/>
        <w:jc w:val="both"/>
        <w:rPr>
          <w:rFonts w:ascii="Times New Roman" w:hAnsi="Times New Roman"/>
          <w:sz w:val="28"/>
        </w:rPr>
      </w:pPr>
      <w:r>
        <w:rPr>
          <w:rFonts w:ascii="Times New Roman" w:hAnsi="Times New Roman"/>
          <w:sz w:val="28"/>
        </w:rPr>
        <w:t>выписки из электронного паспорта транспортного средства;</w:t>
      </w:r>
    </w:p>
    <w:p w14:paraId="2C000000">
      <w:pPr>
        <w:ind w:firstLine="709" w:left="0"/>
        <w:jc w:val="both"/>
        <w:rPr>
          <w:rFonts w:ascii="Times New Roman" w:hAnsi="Times New Roman"/>
          <w:sz w:val="28"/>
        </w:rPr>
      </w:pPr>
      <w:r>
        <w:rPr>
          <w:rFonts w:ascii="Times New Roman" w:hAnsi="Times New Roman"/>
          <w:sz w:val="28"/>
        </w:rPr>
        <w:t>договора (соглашения), заключенного между муниципальным образованием области и организацией или ИП, о предоставлении субсидии на возмещение организации или ИП части затрат на приобретение специализированного автотранспорта (автолавки), предусматривающего обязательства по достижению показателей результативности предоставления субсидии - сохранение в собственности (при приобретении специализированного автотранспорта (автолавки) по договору лизинга - во временном владении и пользовании) специализированного автотранспорта (автолавки), на возмещение затрат на приобретение которого предоставлена субсидия, в течение трех лет со дня получения субсидии, а также осуществление организацией или ИП в течение не менее трех лет со дня получения субсидии деятельности по организации выездной торговли по графику (не реже одного раза в неделю) и маршруту, согласованным с муниципальным образованием области.</w:t>
      </w:r>
    </w:p>
    <w:p w14:paraId="2D000000">
      <w:pPr>
        <w:ind w:firstLine="709" w:left="0"/>
        <w:jc w:val="both"/>
        <w:rPr>
          <w:rFonts w:ascii="Times New Roman" w:hAnsi="Times New Roman"/>
          <w:sz w:val="28"/>
        </w:rPr>
      </w:pPr>
      <w:r>
        <w:rPr>
          <w:rFonts w:ascii="Times New Roman" w:hAnsi="Times New Roman"/>
          <w:sz w:val="28"/>
        </w:rPr>
        <w:t>3.7. Перечисление средств субсидии в бюджет муниципального образования области осуществляется на основании заявки муниципального образования области о перечислении субсидии, представляемой Департаменту в течение 10 рабочих дней со дня получения муниципальным образованием области документов, указанных в пункте 3.6 настоящих Правил, и по форме, которая установлена Департаментом.</w:t>
      </w:r>
    </w:p>
    <w:p w14:paraId="2E000000">
      <w:pPr>
        <w:ind w:firstLine="709" w:left="0"/>
        <w:jc w:val="both"/>
        <w:rPr>
          <w:rFonts w:ascii="Times New Roman" w:hAnsi="Times New Roman"/>
          <w:sz w:val="28"/>
        </w:rPr>
      </w:pPr>
      <w:r>
        <w:rPr>
          <w:rFonts w:ascii="Times New Roman" w:hAnsi="Times New Roman"/>
          <w:sz w:val="28"/>
        </w:rPr>
        <w:t>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области в целях исполнения соответствующего расходного обязательства.</w:t>
      </w:r>
    </w:p>
    <w:p w14:paraId="2F000000">
      <w:pPr>
        <w:ind w:firstLine="709" w:left="0"/>
        <w:jc w:val="both"/>
        <w:rPr>
          <w:rFonts w:ascii="Times New Roman" w:hAnsi="Times New Roman"/>
          <w:sz w:val="28"/>
        </w:rPr>
      </w:pPr>
      <w:r>
        <w:rPr>
          <w:rFonts w:ascii="Times New Roman" w:hAnsi="Times New Roman"/>
          <w:sz w:val="28"/>
        </w:rPr>
        <w:t>3.8. Перечисление субсидий осуществляется в соответствии с утвержденными лимитами бюджетных обязательств и предельными объемами финансирования с лицевого счета, открытого Департаменту, на казначейский счет для осуществления и отражения операций по учету и распределению поступлений, для последующего перечисления в местные бюджеты.</w:t>
      </w:r>
    </w:p>
    <w:p w14:paraId="30000000">
      <w:pPr>
        <w:ind w:firstLine="709" w:left="0"/>
        <w:jc w:val="both"/>
        <w:rPr>
          <w:rFonts w:ascii="Times New Roman" w:hAnsi="Times New Roman"/>
          <w:sz w:val="28"/>
        </w:rPr>
      </w:pPr>
      <w:r>
        <w:rPr>
          <w:rFonts w:ascii="Times New Roman" w:hAnsi="Times New Roman"/>
          <w:sz w:val="28"/>
        </w:rPr>
        <w:t>3.9. Для перечисления субсидий бюджетам муниципальных образований области Департамент представляет в государственное казенное учреждение Вологодской области «Областное казначейство» копию заключенного Соглашения.</w:t>
      </w:r>
    </w:p>
    <w:p w14:paraId="31000000">
      <w:pPr>
        <w:rPr>
          <w:rFonts w:ascii="Times New Roman" w:hAnsi="Times New Roman"/>
          <w:sz w:val="28"/>
        </w:rPr>
      </w:pPr>
    </w:p>
    <w:p w14:paraId="32000000">
      <w:pPr>
        <w:ind/>
        <w:jc w:val="center"/>
        <w:rPr>
          <w:rFonts w:ascii="Times New Roman" w:hAnsi="Times New Roman"/>
          <w:sz w:val="28"/>
        </w:rPr>
      </w:pPr>
      <w:r>
        <w:rPr>
          <w:rFonts w:ascii="Times New Roman" w:hAnsi="Times New Roman"/>
          <w:sz w:val="28"/>
        </w:rPr>
        <w:t>4. Критерии и порядок отбора муниципальных</w:t>
      </w:r>
    </w:p>
    <w:p w14:paraId="33000000">
      <w:pPr>
        <w:ind/>
        <w:jc w:val="center"/>
        <w:rPr>
          <w:rFonts w:ascii="Times New Roman" w:hAnsi="Times New Roman"/>
          <w:sz w:val="28"/>
        </w:rPr>
      </w:pPr>
      <w:r>
        <w:rPr>
          <w:rFonts w:ascii="Times New Roman" w:hAnsi="Times New Roman"/>
          <w:sz w:val="28"/>
        </w:rPr>
        <w:t>образований области для предоставления субсидий</w:t>
      </w:r>
    </w:p>
    <w:p w14:paraId="34000000">
      <w:pPr>
        <w:rPr>
          <w:rFonts w:ascii="Times New Roman" w:hAnsi="Times New Roman"/>
          <w:sz w:val="28"/>
        </w:rPr>
      </w:pPr>
    </w:p>
    <w:p w14:paraId="35000000">
      <w:pPr>
        <w:ind w:firstLine="709" w:left="0"/>
        <w:jc w:val="both"/>
        <w:rPr>
          <w:rFonts w:ascii="Times New Roman" w:hAnsi="Times New Roman"/>
          <w:sz w:val="28"/>
        </w:rPr>
      </w:pPr>
      <w:r>
        <w:rPr>
          <w:rFonts w:ascii="Times New Roman" w:hAnsi="Times New Roman"/>
          <w:sz w:val="28"/>
        </w:rPr>
        <w:t xml:space="preserve">4.1. Критерием отбора муниципальных образований области для предоставления субсидий является </w:t>
      </w:r>
      <w:r>
        <w:rPr>
          <w:rFonts w:ascii="Times New Roman" w:hAnsi="Times New Roman"/>
          <w:sz w:val="28"/>
        </w:rPr>
        <w:t>потребность муниципального образования области в специализированном автотранспорте (автолавке) исходя из минимальной потребности на приобретение специализированного автотранспорта (автолавки) - одна единица.</w:t>
      </w:r>
    </w:p>
    <w:p w14:paraId="36000000">
      <w:pPr>
        <w:ind w:firstLine="709" w:left="0"/>
        <w:jc w:val="both"/>
        <w:rPr>
          <w:rFonts w:ascii="Times New Roman" w:hAnsi="Times New Roman"/>
          <w:sz w:val="28"/>
        </w:rPr>
      </w:pPr>
      <w:r>
        <w:rPr>
          <w:rFonts w:ascii="Times New Roman" w:hAnsi="Times New Roman"/>
          <w:sz w:val="28"/>
        </w:rPr>
        <w:t>4.2. В целях формирования потребности в средствах областного бюджета на следующий финансовый год и для определения перечня муниципальных образований области, между которыми распределяется субсидия, муниципальные образования области в срок до 1 июля текущего года направляют в Департамент сведения о потребности муниципального образования области в специализированном автотранспорте (автолавке).</w:t>
      </w:r>
    </w:p>
    <w:p w14:paraId="37000000">
      <w:pPr>
        <w:ind w:firstLine="709" w:left="0"/>
        <w:jc w:val="both"/>
        <w:rPr>
          <w:rFonts w:ascii="Times New Roman" w:hAnsi="Times New Roman"/>
          <w:sz w:val="28"/>
        </w:rPr>
      </w:pPr>
      <w:r>
        <w:rPr>
          <w:rFonts w:ascii="Times New Roman" w:hAnsi="Times New Roman"/>
          <w:sz w:val="28"/>
        </w:rPr>
        <w:t>4.3. На основании сведений, представленных муниципальными образованиями области, Департамент готовит предложения в Департамент финансов области о распределении субсидий в соответствии с разделом 5 настоящего Порядка.</w:t>
      </w:r>
    </w:p>
    <w:p w14:paraId="38000000">
      <w:pPr>
        <w:rPr>
          <w:rFonts w:ascii="Times New Roman" w:hAnsi="Times New Roman"/>
          <w:sz w:val="28"/>
        </w:rPr>
      </w:pPr>
    </w:p>
    <w:p w14:paraId="39000000">
      <w:pPr>
        <w:ind/>
        <w:jc w:val="center"/>
        <w:rPr>
          <w:rFonts w:ascii="Times New Roman" w:hAnsi="Times New Roman"/>
          <w:sz w:val="28"/>
        </w:rPr>
      </w:pPr>
      <w:r>
        <w:rPr>
          <w:rFonts w:ascii="Times New Roman" w:hAnsi="Times New Roman"/>
          <w:sz w:val="28"/>
        </w:rPr>
        <w:t>5. Методика распределения субсидий между муниципальными</w:t>
      </w:r>
    </w:p>
    <w:p w14:paraId="3A000000">
      <w:pPr>
        <w:ind/>
        <w:jc w:val="center"/>
        <w:rPr>
          <w:rFonts w:ascii="Times New Roman" w:hAnsi="Times New Roman"/>
          <w:sz w:val="28"/>
        </w:rPr>
      </w:pPr>
      <w:r>
        <w:rPr>
          <w:rFonts w:ascii="Times New Roman" w:hAnsi="Times New Roman"/>
          <w:sz w:val="28"/>
        </w:rPr>
        <w:t>образованиями области и уровень софинансирования за счет</w:t>
      </w:r>
    </w:p>
    <w:p w14:paraId="3B000000">
      <w:pPr>
        <w:ind/>
        <w:jc w:val="center"/>
        <w:rPr>
          <w:rFonts w:ascii="Times New Roman" w:hAnsi="Times New Roman"/>
          <w:sz w:val="28"/>
        </w:rPr>
      </w:pPr>
      <w:r>
        <w:rPr>
          <w:rFonts w:ascii="Times New Roman" w:hAnsi="Times New Roman"/>
          <w:sz w:val="28"/>
        </w:rPr>
        <w:t>средств областного бюджета расходного обязательства</w:t>
      </w:r>
    </w:p>
    <w:p w14:paraId="3C000000">
      <w:pPr>
        <w:ind/>
        <w:jc w:val="center"/>
        <w:rPr>
          <w:rFonts w:ascii="Times New Roman" w:hAnsi="Times New Roman"/>
          <w:sz w:val="28"/>
        </w:rPr>
      </w:pPr>
      <w:r>
        <w:rPr>
          <w:rFonts w:ascii="Times New Roman" w:hAnsi="Times New Roman"/>
          <w:sz w:val="28"/>
        </w:rPr>
        <w:t>муниципального образования области</w:t>
      </w:r>
    </w:p>
    <w:p w14:paraId="3D000000">
      <w:pPr>
        <w:rPr>
          <w:rFonts w:ascii="Times New Roman" w:hAnsi="Times New Roman"/>
          <w:sz w:val="28"/>
        </w:rPr>
      </w:pPr>
    </w:p>
    <w:p w14:paraId="3E000000">
      <w:pPr>
        <w:ind w:firstLine="709" w:left="0"/>
        <w:jc w:val="both"/>
        <w:rPr>
          <w:rFonts w:ascii="Times New Roman" w:hAnsi="Times New Roman"/>
          <w:sz w:val="28"/>
        </w:rPr>
      </w:pPr>
      <w:r>
        <w:rPr>
          <w:rFonts w:ascii="Times New Roman" w:hAnsi="Times New Roman"/>
          <w:sz w:val="28"/>
        </w:rPr>
        <w:t>Размер субсидии бюджету i-го муниципального образования области определяется по формуле:</w:t>
      </w:r>
    </w:p>
    <w:p w14:paraId="3F000000">
      <w:pPr>
        <w:ind w:firstLine="709" w:left="0"/>
        <w:jc w:val="both"/>
        <w:rPr>
          <w:rFonts w:ascii="Times New Roman" w:hAnsi="Times New Roman"/>
          <w:sz w:val="28"/>
        </w:rPr>
      </w:pPr>
    </w:p>
    <w:p w14:paraId="40000000">
      <w:pPr>
        <w:ind w:firstLine="709" w:left="0"/>
        <w:jc w:val="both"/>
        <w:rPr>
          <w:rFonts w:ascii="Times New Roman" w:hAnsi="Times New Roman"/>
          <w:sz w:val="28"/>
        </w:rPr>
      </w:pPr>
      <w:r>
        <w:rPr>
          <w:rFonts w:ascii="Times New Roman" w:hAnsi="Times New Roman"/>
          <w:sz w:val="28"/>
        </w:rPr>
        <w:t xml:space="preserve">S = С x Vк x Vс, </w:t>
      </w:r>
    </w:p>
    <w:p w14:paraId="41000000">
      <w:pPr>
        <w:ind w:firstLine="709" w:left="0"/>
        <w:jc w:val="both"/>
        <w:rPr>
          <w:rFonts w:ascii="Times New Roman" w:hAnsi="Times New Roman"/>
          <w:sz w:val="28"/>
        </w:rPr>
      </w:pPr>
    </w:p>
    <w:p w14:paraId="42000000">
      <w:pPr>
        <w:ind w:firstLine="709" w:left="0"/>
        <w:jc w:val="both"/>
        <w:rPr>
          <w:rFonts w:ascii="Times New Roman" w:hAnsi="Times New Roman"/>
          <w:sz w:val="28"/>
        </w:rPr>
      </w:pPr>
      <w:r>
        <w:rPr>
          <w:rFonts w:ascii="Times New Roman" w:hAnsi="Times New Roman"/>
          <w:sz w:val="28"/>
        </w:rPr>
        <w:t>где:</w:t>
      </w:r>
    </w:p>
    <w:p w14:paraId="43000000">
      <w:pPr>
        <w:ind w:firstLine="709" w:left="0"/>
        <w:jc w:val="both"/>
        <w:rPr>
          <w:rFonts w:ascii="Times New Roman" w:hAnsi="Times New Roman"/>
          <w:sz w:val="28"/>
        </w:rPr>
      </w:pPr>
      <w:r>
        <w:rPr>
          <w:rFonts w:ascii="Times New Roman" w:hAnsi="Times New Roman"/>
          <w:sz w:val="28"/>
        </w:rPr>
        <w:t>С - базовая стоимость единицы специализированного автотранспорта, которая устанавливается в размере 2000000,0 рублей;</w:t>
      </w:r>
    </w:p>
    <w:p w14:paraId="44000000">
      <w:pPr>
        <w:ind w:firstLine="709" w:left="0"/>
        <w:jc w:val="both"/>
        <w:rPr>
          <w:rFonts w:ascii="Times New Roman" w:hAnsi="Times New Roman"/>
          <w:sz w:val="28"/>
        </w:rPr>
      </w:pPr>
      <w:r>
        <w:rPr>
          <w:rFonts w:ascii="Times New Roman" w:hAnsi="Times New Roman"/>
          <w:sz w:val="28"/>
        </w:rPr>
        <w:t>Vк - уровень компенсации затрат на приобретение единицы специализированного автотранспорта, принимаемый в объеме 75% базовой стоимости;</w:t>
      </w:r>
    </w:p>
    <w:p w14:paraId="45000000">
      <w:pPr>
        <w:ind w:firstLine="709" w:left="0"/>
        <w:jc w:val="both"/>
        <w:rPr>
          <w:rFonts w:ascii="Times New Roman" w:hAnsi="Times New Roman"/>
          <w:sz w:val="28"/>
        </w:rPr>
      </w:pPr>
      <w:r>
        <w:rPr>
          <w:rFonts w:ascii="Times New Roman" w:hAnsi="Times New Roman"/>
          <w:sz w:val="28"/>
        </w:rPr>
        <w:t>Vс - уровень софинансирования за счет средств областного бюджета расходного обязательства муниципального образования области, устанавливается в размере 66,7%, но не более 1000000 рублей.</w:t>
      </w:r>
    </w:p>
    <w:p w14:paraId="46000000">
      <w:pPr>
        <w:rPr>
          <w:rFonts w:ascii="Times New Roman" w:hAnsi="Times New Roman"/>
          <w:sz w:val="28"/>
        </w:rPr>
      </w:pPr>
    </w:p>
    <w:p w14:paraId="47000000">
      <w:pPr>
        <w:ind/>
        <w:jc w:val="center"/>
        <w:rPr>
          <w:rFonts w:ascii="Times New Roman" w:hAnsi="Times New Roman"/>
          <w:sz w:val="28"/>
        </w:rPr>
      </w:pPr>
      <w:r>
        <w:rPr>
          <w:rFonts w:ascii="Times New Roman" w:hAnsi="Times New Roman"/>
          <w:sz w:val="28"/>
        </w:rPr>
        <w:t>6. Порядок оценки эффективности использования</w:t>
      </w:r>
    </w:p>
    <w:p w14:paraId="48000000">
      <w:pPr>
        <w:ind/>
        <w:jc w:val="center"/>
        <w:rPr>
          <w:rFonts w:ascii="Times New Roman" w:hAnsi="Times New Roman"/>
          <w:sz w:val="28"/>
        </w:rPr>
      </w:pPr>
      <w:r>
        <w:rPr>
          <w:rFonts w:ascii="Times New Roman" w:hAnsi="Times New Roman"/>
          <w:sz w:val="28"/>
        </w:rPr>
        <w:t>субсидий, результаты использования субсидий,</w:t>
      </w:r>
    </w:p>
    <w:p w14:paraId="49000000">
      <w:pPr>
        <w:ind/>
        <w:jc w:val="center"/>
        <w:rPr>
          <w:rFonts w:ascii="Times New Roman" w:hAnsi="Times New Roman"/>
          <w:sz w:val="28"/>
        </w:rPr>
      </w:pPr>
      <w:r>
        <w:rPr>
          <w:rFonts w:ascii="Times New Roman" w:hAnsi="Times New Roman"/>
          <w:sz w:val="28"/>
        </w:rPr>
        <w:t>порядок расчета их значений</w:t>
      </w:r>
    </w:p>
    <w:p w14:paraId="4A000000">
      <w:pPr>
        <w:rPr>
          <w:rFonts w:ascii="Times New Roman" w:hAnsi="Times New Roman"/>
          <w:sz w:val="28"/>
        </w:rPr>
      </w:pPr>
    </w:p>
    <w:p w14:paraId="4B000000">
      <w:pPr>
        <w:ind w:firstLine="709" w:left="0"/>
        <w:jc w:val="both"/>
        <w:rPr>
          <w:rFonts w:ascii="Times New Roman" w:hAnsi="Times New Roman"/>
          <w:sz w:val="28"/>
        </w:rPr>
      </w:pPr>
      <w:r>
        <w:rPr>
          <w:rFonts w:ascii="Times New Roman" w:hAnsi="Times New Roman"/>
          <w:sz w:val="28"/>
        </w:rPr>
        <w:t>6.1. Оценка эффективности использования субсидий (далее - оценка) осуществляется Департаментом по итогам отчетного финансового года.</w:t>
      </w:r>
    </w:p>
    <w:p w14:paraId="4C000000">
      <w:pPr>
        <w:ind w:firstLine="709" w:left="0"/>
        <w:jc w:val="both"/>
        <w:rPr>
          <w:rFonts w:ascii="Times New Roman" w:hAnsi="Times New Roman"/>
          <w:sz w:val="28"/>
        </w:rPr>
      </w:pPr>
      <w:r>
        <w:rPr>
          <w:rFonts w:ascii="Times New Roman" w:hAnsi="Times New Roman"/>
          <w:sz w:val="28"/>
        </w:rPr>
        <w:t>6.2. Оценка осуществляется путем сравнения фактически достигнутых значений и установленных Соглашениями значений результатов использования субсидий на основе отчетности муниципальных образований области об исполнении условий предоставления субсидий.</w:t>
      </w:r>
    </w:p>
    <w:p w14:paraId="4D000000">
      <w:pPr>
        <w:ind w:firstLine="709" w:left="0"/>
        <w:jc w:val="both"/>
        <w:rPr>
          <w:rFonts w:ascii="Times New Roman" w:hAnsi="Times New Roman"/>
          <w:sz w:val="28"/>
        </w:rPr>
      </w:pPr>
      <w:r>
        <w:rPr>
          <w:rFonts w:ascii="Times New Roman" w:hAnsi="Times New Roman"/>
          <w:sz w:val="28"/>
        </w:rPr>
        <w:t>6.3. Эффективность использования субсидий оценивается Департаментом на основании достижения значений результата использования субсидии - количество специализированного автотранспорта (автолавок), приобретенного за счет субсидии организацией или ИП, осуществляющими доставку и реализацию продовольственных товаров в малонаселенные и (или) труднодоступные населенные пункты согласно маршрутам и графикам (не реже одного раза в неделю), установленным соглашением между муниципальным образованием области и организацией или ИП, единиц. Значения результата использования субсидий оцениваются Департаментом на основании отчетности, представляемой муниципальными образованиями области в соответствии с разделом 7 настоящих Правил.</w:t>
      </w:r>
    </w:p>
    <w:p w14:paraId="4E000000">
      <w:pPr>
        <w:ind w:firstLine="709" w:left="0"/>
        <w:jc w:val="both"/>
        <w:rPr>
          <w:rFonts w:ascii="Times New Roman" w:hAnsi="Times New Roman"/>
          <w:sz w:val="28"/>
        </w:rPr>
      </w:pPr>
      <w:r>
        <w:rPr>
          <w:rFonts w:ascii="Times New Roman" w:hAnsi="Times New Roman"/>
          <w:sz w:val="28"/>
        </w:rPr>
        <w:t>6.4. Результат использования субсидий муниципальным образованием области считается достигнутым, если его значение соответствует значению, указанному в Соглашении с Департаментом.</w:t>
      </w:r>
    </w:p>
    <w:p w14:paraId="4F000000">
      <w:pPr>
        <w:rPr>
          <w:rFonts w:ascii="Times New Roman" w:hAnsi="Times New Roman"/>
          <w:sz w:val="28"/>
        </w:rPr>
      </w:pPr>
    </w:p>
    <w:p w14:paraId="50000000">
      <w:pPr>
        <w:ind/>
        <w:jc w:val="center"/>
        <w:rPr>
          <w:rFonts w:ascii="Times New Roman" w:hAnsi="Times New Roman"/>
          <w:sz w:val="28"/>
        </w:rPr>
      </w:pPr>
      <w:r>
        <w:rPr>
          <w:rFonts w:ascii="Times New Roman" w:hAnsi="Times New Roman"/>
          <w:sz w:val="28"/>
        </w:rPr>
        <w:t>7. Сроки и порядок представления отчетности</w:t>
      </w:r>
    </w:p>
    <w:p w14:paraId="51000000">
      <w:pPr>
        <w:ind/>
        <w:jc w:val="center"/>
        <w:rPr>
          <w:rFonts w:ascii="Times New Roman" w:hAnsi="Times New Roman"/>
          <w:sz w:val="28"/>
        </w:rPr>
      </w:pPr>
      <w:r>
        <w:rPr>
          <w:rFonts w:ascii="Times New Roman" w:hAnsi="Times New Roman"/>
          <w:sz w:val="28"/>
        </w:rPr>
        <w:t>об исполнении условий предоставления субсидий</w:t>
      </w:r>
    </w:p>
    <w:p w14:paraId="52000000">
      <w:pPr>
        <w:rPr>
          <w:rFonts w:ascii="Times New Roman" w:hAnsi="Times New Roman"/>
          <w:sz w:val="28"/>
        </w:rPr>
      </w:pPr>
    </w:p>
    <w:p w14:paraId="53000000">
      <w:pPr>
        <w:ind w:firstLine="709" w:left="0"/>
        <w:jc w:val="both"/>
        <w:rPr>
          <w:rFonts w:ascii="Times New Roman" w:hAnsi="Times New Roman"/>
          <w:sz w:val="28"/>
        </w:rPr>
      </w:pPr>
      <w:r>
        <w:rPr>
          <w:rFonts w:ascii="Times New Roman" w:hAnsi="Times New Roman"/>
          <w:sz w:val="28"/>
        </w:rPr>
        <w:t>7.1. Органы местного самоуправления муниципальных образований области  до 12 января года, следующего за отчетным, представляют в Департамент отчет об использовании субсидии и выполнении результатов предоставления субсидий с приложением копии паспорта специализированного автотранспорта (автолавки), заверенного уполномоченным лицом муниципального образования области, справок от органов местного самоуправления муниципальных образований области, подтверждающих факт доставки продовольственных товаров в малонаселенные и (или) труднодоступные населенные пункты согласно маршрутам и графикам (не реже одного раза в неделю), установленным соглашением между муниципальным образованием области и организацией или ИП.</w:t>
      </w:r>
    </w:p>
    <w:p w14:paraId="54000000">
      <w:pPr>
        <w:ind w:firstLine="709" w:left="0"/>
        <w:jc w:val="both"/>
        <w:rPr>
          <w:rFonts w:ascii="Times New Roman" w:hAnsi="Times New Roman"/>
          <w:sz w:val="28"/>
        </w:rPr>
      </w:pPr>
      <w:r>
        <w:rPr>
          <w:rFonts w:ascii="Times New Roman" w:hAnsi="Times New Roman"/>
          <w:sz w:val="28"/>
        </w:rPr>
        <w:t>7.2. Отчет об использовании субсидий по форме, утвержденной Департаментом, составляется по состоянию на 31 декабря отчетного года.</w:t>
      </w:r>
    </w:p>
    <w:p w14:paraId="55000000">
      <w:pPr>
        <w:rPr>
          <w:rFonts w:ascii="Times New Roman" w:hAnsi="Times New Roman"/>
          <w:sz w:val="28"/>
        </w:rPr>
      </w:pPr>
    </w:p>
    <w:p w14:paraId="56000000">
      <w:pPr>
        <w:ind/>
        <w:jc w:val="center"/>
        <w:rPr>
          <w:rFonts w:ascii="Times New Roman" w:hAnsi="Times New Roman"/>
          <w:sz w:val="28"/>
        </w:rPr>
      </w:pPr>
      <w:r>
        <w:rPr>
          <w:rFonts w:ascii="Times New Roman" w:hAnsi="Times New Roman"/>
          <w:sz w:val="28"/>
        </w:rPr>
        <w:t>8. Порядок обеспечения Департаментом соблюдения</w:t>
      </w:r>
    </w:p>
    <w:p w14:paraId="57000000">
      <w:pPr>
        <w:ind/>
        <w:jc w:val="center"/>
        <w:rPr>
          <w:rFonts w:ascii="Times New Roman" w:hAnsi="Times New Roman"/>
          <w:sz w:val="28"/>
        </w:rPr>
      </w:pPr>
      <w:r>
        <w:rPr>
          <w:rFonts w:ascii="Times New Roman" w:hAnsi="Times New Roman"/>
          <w:sz w:val="28"/>
        </w:rPr>
        <w:t>муниципальными образованиями области целей, условий</w:t>
      </w:r>
    </w:p>
    <w:p w14:paraId="58000000">
      <w:pPr>
        <w:ind/>
        <w:jc w:val="center"/>
        <w:rPr>
          <w:rFonts w:ascii="Times New Roman" w:hAnsi="Times New Roman"/>
          <w:sz w:val="28"/>
        </w:rPr>
      </w:pPr>
      <w:r>
        <w:rPr>
          <w:rFonts w:ascii="Times New Roman" w:hAnsi="Times New Roman"/>
          <w:sz w:val="28"/>
        </w:rPr>
        <w:t>и порядка, установленных при предоставлении субсидии</w:t>
      </w:r>
    </w:p>
    <w:p w14:paraId="59000000">
      <w:pPr>
        <w:rPr>
          <w:rFonts w:ascii="Times New Roman" w:hAnsi="Times New Roman"/>
          <w:sz w:val="28"/>
        </w:rPr>
      </w:pPr>
    </w:p>
    <w:p w14:paraId="5A000000">
      <w:pPr>
        <w:ind w:firstLine="709" w:left="0"/>
        <w:jc w:val="both"/>
        <w:rPr>
          <w:rFonts w:ascii="Times New Roman" w:hAnsi="Times New Roman"/>
          <w:sz w:val="28"/>
        </w:rPr>
      </w:pPr>
      <w:r>
        <w:rPr>
          <w:rFonts w:ascii="Times New Roman" w:hAnsi="Times New Roman"/>
          <w:sz w:val="28"/>
        </w:rPr>
        <w:t>8.1. Департамент обеспечивает контроль за соблюдением муниципальным образованием области условий, целей, порядка, установленных при предоставлении субсидии, в следующем порядке:</w:t>
      </w:r>
    </w:p>
    <w:p w14:paraId="5B000000">
      <w:pPr>
        <w:ind w:firstLine="709" w:left="0"/>
        <w:jc w:val="both"/>
        <w:rPr>
          <w:rFonts w:ascii="Times New Roman" w:hAnsi="Times New Roman"/>
          <w:sz w:val="28"/>
        </w:rPr>
      </w:pPr>
      <w:r>
        <w:rPr>
          <w:rFonts w:ascii="Times New Roman" w:hAnsi="Times New Roman"/>
          <w:sz w:val="28"/>
        </w:rPr>
        <w:t>при рассмотрении заявок, представленных муниципальными образованиями области для предоставления субсидии;</w:t>
      </w:r>
    </w:p>
    <w:p w14:paraId="5C000000">
      <w:pPr>
        <w:ind w:firstLine="709" w:left="0"/>
        <w:jc w:val="both"/>
        <w:rPr>
          <w:rFonts w:ascii="Times New Roman" w:hAnsi="Times New Roman"/>
          <w:sz w:val="28"/>
        </w:rPr>
      </w:pPr>
      <w:r>
        <w:rPr>
          <w:rFonts w:ascii="Times New Roman" w:hAnsi="Times New Roman"/>
          <w:sz w:val="28"/>
        </w:rPr>
        <w:t>при рассмотрении отчетности об использовании субсидии, в том числе отчетности об осуществлении расходов местного бюджета, источником финансового обеспечения которых является субсидия;</w:t>
      </w:r>
    </w:p>
    <w:p w14:paraId="5D000000">
      <w:pPr>
        <w:ind w:firstLine="709" w:left="0"/>
        <w:jc w:val="both"/>
        <w:rPr>
          <w:rFonts w:ascii="Times New Roman" w:hAnsi="Times New Roman"/>
          <w:sz w:val="28"/>
        </w:rPr>
      </w:pPr>
      <w:r>
        <w:rPr>
          <w:rFonts w:ascii="Times New Roman" w:hAnsi="Times New Roman"/>
          <w:sz w:val="28"/>
        </w:rPr>
        <w:t>при анализе достижения муниципальным образованием области в отчетном финансовом году плановых значений результатов использования субсидий.</w:t>
      </w:r>
    </w:p>
    <w:p w14:paraId="5E000000">
      <w:pPr>
        <w:ind w:firstLine="709" w:left="0"/>
        <w:jc w:val="both"/>
        <w:rPr>
          <w:rFonts w:ascii="Times New Roman" w:hAnsi="Times New Roman"/>
          <w:sz w:val="28"/>
        </w:rPr>
      </w:pPr>
      <w:r>
        <w:rPr>
          <w:rFonts w:ascii="Times New Roman" w:hAnsi="Times New Roman"/>
          <w:sz w:val="28"/>
        </w:rPr>
        <w:t>8.2. В срок до 20 февраля текущего финансового года Департамент осуществляет анализ достижения муниципальным образованием области в отчетном финансовом году значений результатов использования субсидий и представляет в срок до 1 марта текущего финансового года в Департамент финансов области информацию, предусмотренную пунктом 30 Правил № 1224.</w:t>
      </w:r>
    </w:p>
    <w:p w14:paraId="5F000000">
      <w:pPr>
        <w:ind w:firstLine="709" w:left="0"/>
        <w:jc w:val="both"/>
        <w:rPr>
          <w:rFonts w:ascii="Times New Roman" w:hAnsi="Times New Roman"/>
          <w:sz w:val="28"/>
        </w:rPr>
      </w:pPr>
      <w:r>
        <w:rPr>
          <w:rFonts w:ascii="Times New Roman" w:hAnsi="Times New Roman"/>
          <w:sz w:val="28"/>
        </w:rPr>
        <w:t>8.3. В случае выявления факта несоблюдения условий предоставления субсидий, совершения бюджетных нарушений в целях сокращения (приостановления) предоставления межбюджетных трансфертов Департамент направляет в течение 10 рабочих дней со дня их выявления информацию в Департамент финансов области.</w:t>
      </w:r>
    </w:p>
    <w:p w14:paraId="60000000">
      <w:pPr>
        <w:rPr>
          <w:rFonts w:ascii="Times New Roman" w:hAnsi="Times New Roman"/>
          <w:sz w:val="28"/>
        </w:rPr>
      </w:pPr>
    </w:p>
    <w:p w14:paraId="61000000">
      <w:pPr>
        <w:ind/>
        <w:jc w:val="center"/>
        <w:rPr>
          <w:rFonts w:ascii="Times New Roman" w:hAnsi="Times New Roman"/>
          <w:sz w:val="28"/>
        </w:rPr>
      </w:pPr>
      <w:r>
        <w:rPr>
          <w:rFonts w:ascii="Times New Roman" w:hAnsi="Times New Roman"/>
          <w:sz w:val="28"/>
        </w:rPr>
        <w:t>9. Последствия несоблюдения целей, условий, порядка</w:t>
      </w:r>
    </w:p>
    <w:p w14:paraId="62000000">
      <w:pPr>
        <w:ind/>
        <w:jc w:val="center"/>
        <w:rPr>
          <w:rFonts w:ascii="Times New Roman" w:hAnsi="Times New Roman"/>
          <w:sz w:val="28"/>
        </w:rPr>
      </w:pPr>
      <w:r>
        <w:rPr>
          <w:rFonts w:ascii="Times New Roman" w:hAnsi="Times New Roman"/>
          <w:sz w:val="28"/>
        </w:rPr>
        <w:t>предоставления субсидий, а также ответственность</w:t>
      </w:r>
    </w:p>
    <w:p w14:paraId="63000000">
      <w:pPr>
        <w:ind/>
        <w:jc w:val="center"/>
        <w:rPr>
          <w:rFonts w:ascii="Times New Roman" w:hAnsi="Times New Roman"/>
          <w:sz w:val="28"/>
        </w:rPr>
      </w:pPr>
      <w:r>
        <w:rPr>
          <w:rFonts w:ascii="Times New Roman" w:hAnsi="Times New Roman"/>
          <w:sz w:val="28"/>
        </w:rPr>
        <w:t>за неисполнение обязательств, предусмотренных</w:t>
      </w:r>
    </w:p>
    <w:p w14:paraId="64000000">
      <w:pPr>
        <w:ind/>
        <w:jc w:val="center"/>
        <w:rPr>
          <w:rFonts w:ascii="Times New Roman" w:hAnsi="Times New Roman"/>
          <w:sz w:val="28"/>
        </w:rPr>
      </w:pPr>
      <w:r>
        <w:rPr>
          <w:rFonts w:ascii="Times New Roman" w:hAnsi="Times New Roman"/>
          <w:sz w:val="28"/>
        </w:rPr>
        <w:t>соглашением о предоставлении из областного бюджета</w:t>
      </w:r>
    </w:p>
    <w:p w14:paraId="65000000">
      <w:pPr>
        <w:ind/>
        <w:jc w:val="center"/>
        <w:rPr>
          <w:rFonts w:ascii="Times New Roman" w:hAnsi="Times New Roman"/>
          <w:sz w:val="28"/>
        </w:rPr>
      </w:pPr>
      <w:r>
        <w:rPr>
          <w:rFonts w:ascii="Times New Roman" w:hAnsi="Times New Roman"/>
          <w:sz w:val="28"/>
        </w:rPr>
        <w:t>субсидии бюджету муниципального образования области</w:t>
      </w:r>
    </w:p>
    <w:p w14:paraId="66000000">
      <w:pPr>
        <w:rPr>
          <w:rFonts w:ascii="Times New Roman" w:hAnsi="Times New Roman"/>
          <w:sz w:val="28"/>
        </w:rPr>
      </w:pPr>
    </w:p>
    <w:p w14:paraId="67000000">
      <w:pPr>
        <w:ind w:firstLine="709" w:left="0"/>
        <w:jc w:val="both"/>
        <w:rPr>
          <w:rFonts w:ascii="Times New Roman" w:hAnsi="Times New Roman"/>
          <w:sz w:val="28"/>
        </w:rPr>
      </w:pPr>
      <w:r>
        <w:rPr>
          <w:rFonts w:ascii="Times New Roman" w:hAnsi="Times New Roman"/>
          <w:sz w:val="28"/>
        </w:rPr>
        <w:t>9.1. В случае нецелевого использования субсидии к муниципальному образованию области применяются бюджетные меры принуждения, предусмотренные бюджетным законодательством Российской Федерации.</w:t>
      </w:r>
    </w:p>
    <w:p w14:paraId="68000000">
      <w:pPr>
        <w:ind w:firstLine="709" w:left="0"/>
        <w:jc w:val="both"/>
        <w:rPr>
          <w:rFonts w:ascii="Times New Roman" w:hAnsi="Times New Roman"/>
          <w:sz w:val="28"/>
        </w:rPr>
      </w:pPr>
      <w:r>
        <w:rPr>
          <w:rFonts w:ascii="Times New Roman" w:hAnsi="Times New Roman"/>
          <w:sz w:val="28"/>
        </w:rPr>
        <w:t>9.2. В случае если муниципальным образованием области по состоянию на 31 декабря года предоставления субсидий допущены нарушения по достижению значений результатов использования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области в областной бюджет в срок до 1 июля года, следующего за годом предоставления субсидии, рассчитывается в соответствии с пунктами 22 - 24 Правил № 1224.</w:t>
      </w:r>
    </w:p>
    <w:p w14:paraId="69000000">
      <w:pPr>
        <w:ind w:firstLine="709" w:left="0"/>
        <w:jc w:val="both"/>
        <w:rPr>
          <w:rFonts w:ascii="Times New Roman" w:hAnsi="Times New Roman"/>
          <w:sz w:val="28"/>
        </w:rPr>
      </w:pPr>
      <w:r>
        <w:rPr>
          <w:rFonts w:ascii="Times New Roman" w:hAnsi="Times New Roman"/>
          <w:sz w:val="28"/>
        </w:rPr>
        <w:t>9.3. В случае если муниципальным образованием области по состоянию на 31 декабря года предоставления субсидии допущены нарушения обязательств по соблюдению уровня софинансирования, объем средств, подлежащий возврату из местного бюджета в областной бюджет в срок до 1 июня года, следующего за годом предоставления субсидии, рассчитывается в соответствии с пунктом 27 Правил               № 1224.</w:t>
      </w:r>
    </w:p>
    <w:p w14:paraId="6A000000">
      <w:pPr>
        <w:ind w:firstLine="709" w:left="0"/>
        <w:jc w:val="both"/>
        <w:rPr>
          <w:rFonts w:ascii="Times New Roman" w:hAnsi="Times New Roman"/>
          <w:sz w:val="28"/>
        </w:rPr>
      </w:pPr>
      <w:r>
        <w:rPr>
          <w:rFonts w:ascii="Times New Roman" w:hAnsi="Times New Roman"/>
          <w:sz w:val="28"/>
        </w:rPr>
        <w:t>9.4. Не использованные по состоянию на 1 января текущего финансового года субсидии подлежат возврату в областной бюджет в течение первых 15 рабочих дней текущего финансового года.</w:t>
      </w:r>
    </w:p>
    <w:p w14:paraId="6B000000">
      <w:pPr>
        <w:ind w:firstLine="709" w:left="0"/>
        <w:jc w:val="both"/>
        <w:rPr>
          <w:rFonts w:ascii="Times New Roman" w:hAnsi="Times New Roman"/>
          <w:sz w:val="28"/>
        </w:rPr>
      </w:pPr>
      <w:r>
        <w:rPr>
          <w:rFonts w:ascii="Times New Roman" w:hAnsi="Times New Roman"/>
          <w:sz w:val="28"/>
        </w:rPr>
        <w:t>Завершение операций по исполнению бюджета в текущем финансовом году осуществляется в порядке, установленном Департаментом финансов области.</w:t>
      </w:r>
    </w:p>
    <w:p w14:paraId="6C000000">
      <w:pPr>
        <w:ind w:firstLine="709" w:left="0"/>
        <w:jc w:val="both"/>
        <w:rPr>
          <w:rFonts w:ascii="Times New Roman" w:hAnsi="Times New Roman"/>
          <w:sz w:val="28"/>
        </w:rPr>
      </w:pPr>
      <w:r>
        <w:rPr>
          <w:rFonts w:ascii="Times New Roman" w:hAnsi="Times New Roman"/>
          <w:sz w:val="28"/>
        </w:rPr>
        <w:t>9.5. Освобождение муниципального образования области от применения мер ответственности, предусмотренных пунктом 9.2 настоящего раздела, осуществляется в соответствии с Правилами № 1224.».</w:t>
      </w:r>
    </w:p>
    <w:p w14:paraId="6D000000">
      <w:pPr>
        <w:ind w:firstLine="709" w:left="0"/>
        <w:jc w:val="both"/>
        <w:rPr>
          <w:rFonts w:ascii="Times New Roman" w:hAnsi="Times New Roman"/>
          <w:sz w:val="28"/>
        </w:rPr>
      </w:pPr>
    </w:p>
    <w:p w14:paraId="6E000000">
      <w:pPr>
        <w:ind w:firstLine="709" w:left="0"/>
        <w:jc w:val="both"/>
        <w:rPr>
          <w:rFonts w:ascii="Times New Roman" w:hAnsi="Times New Roman"/>
          <w:sz w:val="28"/>
        </w:rPr>
      </w:pPr>
    </w:p>
    <w:p w14:paraId="6F000000">
      <w:pPr>
        <w:pStyle w:val="Style_1"/>
        <w:rPr>
          <w:rFonts w:ascii="Times New Roman" w:hAnsi="Times New Roman"/>
        </w:rPr>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2022-06-14T11:14:02Z</dcterms:modified>
</cp:coreProperties>
</file>