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ГЕОИНФОРМАЦИОННАЯ СИСТЕМА «КУЗБАСС»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Функциональные характеристики 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tabs>
              <w:tab w:val="right" w:pos="9025.511811023624"/>
            </w:tabs>
            <w:spacing w:before="80" w:line="36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236ar39p0m5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Авторизация и разграничение доступа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_236ar39p0m5z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025.511811023624"/>
            </w:tabs>
            <w:spacing w:before="200" w:line="360" w:lineRule="auto"/>
            <w:ind w:left="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r7z4ctcakhx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Административная панель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_r7z4ctcakhx0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025.511811023624"/>
            </w:tabs>
            <w:spacing w:before="200" w:line="360" w:lineRule="auto"/>
            <w:ind w:left="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iu5rni1t682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Функциональность компонентов Системы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_iu5rni1t682n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025.511811023624"/>
            </w:tabs>
            <w:spacing w:before="60" w:line="360" w:lineRule="auto"/>
            <w:ind w:left="36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pdx9zn6dmpnl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 Функциональность компонента «Карта»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_pdx9zn6dmpnl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9025.511811023624"/>
            </w:tabs>
            <w:spacing w:before="60" w:line="360" w:lineRule="auto"/>
            <w:ind w:left="36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6utwifk2ifqs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 Функциональность компонента «Облако точек»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_6utwifk2ifqs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9025.511811023624"/>
            </w:tabs>
            <w:spacing w:before="200" w:line="360" w:lineRule="auto"/>
            <w:ind w:left="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cztk00ln0uu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Функциональность тематических блоков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_cztk00ln0uu5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9025.511811023624"/>
            </w:tabs>
            <w:spacing w:before="60" w:line="360" w:lineRule="auto"/>
            <w:ind w:left="36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dcguwxzfmcjh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 Цифровой двойник города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_dcguwxzfmcjh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9025.511811023624"/>
            </w:tabs>
            <w:spacing w:before="60" w:line="360" w:lineRule="auto"/>
            <w:ind w:left="36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th7p5a3ggouu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 Аналитическая информация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_th7p5a3ggouu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9025.511811023624"/>
            </w:tabs>
            <w:spacing w:before="60" w:line="360" w:lineRule="auto"/>
            <w:ind w:left="72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ksajbp1pvnuv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4.2.1. Недропользование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_ksajbp1pvnuv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9025.511811023624"/>
            </w:tabs>
            <w:spacing w:before="60" w:line="360" w:lineRule="auto"/>
            <w:ind w:left="72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aey3pp297c7x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4.2.2. Лесопользование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_aey3pp297c7x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9025.511811023624"/>
            </w:tabs>
            <w:spacing w:before="60" w:line="360" w:lineRule="auto"/>
            <w:ind w:left="36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31ebbbf85ihe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 Оперативная информация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_31ebbbf85ihe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9025.511811023624"/>
            </w:tabs>
            <w:spacing w:before="60" w:line="360" w:lineRule="auto"/>
            <w:ind w:left="72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qreobtlkupfh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4.3.1. Сейсмические события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_qreobtlkupfh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9025.511811023624"/>
            </w:tabs>
            <w:spacing w:before="60" w:line="360" w:lineRule="auto"/>
            <w:ind w:left="72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90fiktlvb9aa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4.3.2. Оперативная информация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_90fiktlvb9aa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9025.511811023624"/>
            </w:tabs>
            <w:spacing w:after="80" w:before="60" w:line="360" w:lineRule="auto"/>
            <w:ind w:left="72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fq9sr64ojs3i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4.3.3. Данные о составе воздуха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_fq9sr64ojs3i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line="360" w:lineRule="auto"/>
        <w:ind w:firstLine="720"/>
        <w:rPr/>
      </w:pPr>
      <w:bookmarkStart w:colFirst="0" w:colLast="0" w:name="_236ar39p0m5z" w:id="0"/>
      <w:bookmarkEnd w:id="0"/>
      <w:r w:rsidDel="00000000" w:rsidR="00000000" w:rsidRPr="00000000">
        <w:rPr>
          <w:rtl w:val="0"/>
        </w:rPr>
        <w:t xml:space="preserve">1. Авторизация и разграничение доступа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доступа к данным и функциям веб-портала сотрудники должны пройти процедуру аутентификации посредством ввода пары логин/пароль в специальном диалоговом окне входа.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 к данным и функциям Системы предоставляется на основании авторизации пользователя и его роли.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новых пользователей, блокировка пользователей, сброс забытых паролей осуществляет только Администратор пользователей.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действия пользовательских паролей ограничен 90 днями. После истечения</w:t>
        <w:tab/>
        <w:t xml:space="preserve">срока действия пользователю ограничен доступ в систему до тех пор, пока он не сменит пароль.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line="360" w:lineRule="auto"/>
        <w:ind w:firstLine="720"/>
        <w:jc w:val="both"/>
        <w:rPr/>
      </w:pPr>
      <w:bookmarkStart w:colFirst="0" w:colLast="0" w:name="_r7z4ctcakhx0" w:id="1"/>
      <w:bookmarkEnd w:id="1"/>
      <w:r w:rsidDel="00000000" w:rsidR="00000000" w:rsidRPr="00000000">
        <w:rPr>
          <w:rtl w:val="0"/>
        </w:rPr>
        <w:t xml:space="preserve">2. Административная панель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Административная панель доступна пользователю с ролью Администратор и содержит следующие функции: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учетными записями пользователей: создание, редактирование или удаление учетной записи, присвоение пользователю роли, определяющей его права доступа;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тематическими блоками: создание, редактирование или удаление тематических блоков, а также изменение слоев и данных, содержащихся в них.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line="360" w:lineRule="auto"/>
        <w:ind w:firstLine="720"/>
        <w:jc w:val="both"/>
        <w:rPr/>
      </w:pPr>
      <w:bookmarkStart w:colFirst="0" w:colLast="0" w:name="_iu5rni1t682n" w:id="2"/>
      <w:bookmarkEnd w:id="2"/>
      <w:r w:rsidDel="00000000" w:rsidR="00000000" w:rsidRPr="00000000">
        <w:rPr>
          <w:rtl w:val="0"/>
        </w:rPr>
        <w:t xml:space="preserve">3. Функциональность компонентов Системы</w:t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Компонент Системы – это программная часть Системы для визуализации пространственных и атрибутивных данных с привязкой к географической системе координат. В состав компонентов входят инструменты для работы с слоями и инструменты измерения.</w:t>
      </w:r>
    </w:p>
    <w:p w:rsidR="00000000" w:rsidDel="00000000" w:rsidP="00000000" w:rsidRDefault="00000000" w:rsidRPr="00000000" w14:paraId="00000032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pacing w:line="360" w:lineRule="auto"/>
        <w:ind w:firstLine="720"/>
        <w:jc w:val="both"/>
        <w:rPr/>
      </w:pPr>
      <w:bookmarkStart w:colFirst="0" w:colLast="0" w:name="_pdx9zn6dmpnl" w:id="3"/>
      <w:bookmarkEnd w:id="3"/>
      <w:r w:rsidDel="00000000" w:rsidR="00000000" w:rsidRPr="00000000">
        <w:rPr>
          <w:rtl w:val="0"/>
        </w:rPr>
        <w:t xml:space="preserve">3.1. Функциональность компонента «Карта»</w:t>
      </w:r>
    </w:p>
    <w:p w:rsidR="00000000" w:rsidDel="00000000" w:rsidP="00000000" w:rsidRDefault="00000000" w:rsidRPr="00000000" w14:paraId="00000034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Пользователю Системы предоставлена возможность выбора отображаемого источника топографической основы из списка предварительно подключенных.</w:t>
      </w:r>
    </w:p>
    <w:p w:rsidR="00000000" w:rsidDel="00000000" w:rsidP="00000000" w:rsidRDefault="00000000" w:rsidRPr="00000000" w14:paraId="00000035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просмотра пространственных данных пользователю доступны следующие возможности: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текущего масштаба карты (увеличение, уменьшение);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Перемещение по карте;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Поворот и наклон карты;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ориентации карты;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координат конкретной точки;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Измерение расстояния;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Измерение площади;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списка объектов, расположенных вблизи точки на карте;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Рисование векторных объектов (точка, линия, полигон) на карте средствами Системы;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Импорт/экспорт векторных данных в формате .geojson;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Просмотр информации по выбранному на карте объекту. Выбор объекта на карте осуществляется наведением курсора на объект и кликом левой кнопкой мыши.</w:t>
      </w:r>
    </w:p>
    <w:p w:rsidR="00000000" w:rsidDel="00000000" w:rsidP="00000000" w:rsidRDefault="00000000" w:rsidRPr="00000000" w14:paraId="00000041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каждому выбранному объекту доступен просмотр атрибутивных данных.</w:t>
      </w:r>
    </w:p>
    <w:p w:rsidR="00000000" w:rsidDel="00000000" w:rsidP="00000000" w:rsidRDefault="00000000" w:rsidRPr="00000000" w14:paraId="00000042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spacing w:line="360" w:lineRule="auto"/>
        <w:ind w:firstLine="720"/>
        <w:jc w:val="both"/>
        <w:rPr/>
      </w:pPr>
      <w:bookmarkStart w:colFirst="0" w:colLast="0" w:name="_6utwifk2ifqs" w:id="4"/>
      <w:bookmarkEnd w:id="4"/>
      <w:r w:rsidDel="00000000" w:rsidR="00000000" w:rsidRPr="00000000">
        <w:rPr>
          <w:rtl w:val="0"/>
        </w:rPr>
        <w:t xml:space="preserve">3.2. Функциональность компонента «Облако точек»</w:t>
      </w:r>
    </w:p>
    <w:p w:rsidR="00000000" w:rsidDel="00000000" w:rsidP="00000000" w:rsidRDefault="00000000" w:rsidRPr="00000000" w14:paraId="00000044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Компонент предназначен для работы с точечной трехмерной моделью. Служит для визуализации рельефа, зданий и инженерных сооружений.</w:t>
      </w:r>
    </w:p>
    <w:p w:rsidR="00000000" w:rsidDel="00000000" w:rsidP="00000000" w:rsidRDefault="00000000" w:rsidRPr="00000000" w14:paraId="00000045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работы с облаком точек доступны следующие возможности: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камерой (отдаление, приближение, поворот, наклон);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Ориентация камеры относительно облака точек (сверху, снизу, слева, справа, спереди и сзади);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Ориентация камеры относительно севера (компас);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Переключение камеры из режима «Перспектива» в «Ортогональная» и обратно;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координат точки;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Измерение угла;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Измерение разницы высот;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Измерение расстояния;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Измерение площади;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Измерение объема трехмерной фигуры (объем возвышения или углубления);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Построение профиля высот и экспорт в форматах .las или .csv;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отображения облака точек: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2"/>
        </w:numPr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размера точек (фиксированный, адаптивный, расширенный)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2"/>
        </w:numPr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вида точки (квадрат, круг или параболоид);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2"/>
        </w:numPr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цвета облака точек (однотонный цвет, по высоте, по классификации).</w:t>
      </w:r>
    </w:p>
    <w:p w:rsidR="00000000" w:rsidDel="00000000" w:rsidP="00000000" w:rsidRDefault="00000000" w:rsidRPr="00000000" w14:paraId="00000055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line="360" w:lineRule="auto"/>
        <w:ind w:firstLine="720"/>
        <w:jc w:val="both"/>
        <w:rPr/>
      </w:pPr>
      <w:bookmarkStart w:colFirst="0" w:colLast="0" w:name="_cztk00ln0uu5" w:id="5"/>
      <w:bookmarkEnd w:id="5"/>
      <w:r w:rsidDel="00000000" w:rsidR="00000000" w:rsidRPr="00000000">
        <w:rPr>
          <w:rtl w:val="0"/>
        </w:rPr>
        <w:t xml:space="preserve">4. Функциональность тематических блоков</w:t>
      </w:r>
    </w:p>
    <w:p w:rsidR="00000000" w:rsidDel="00000000" w:rsidP="00000000" w:rsidRDefault="00000000" w:rsidRPr="00000000" w14:paraId="00000057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Тематический блок – это совокупность используемых компонентов Системы и слоев для предоставления авторизованным пользователям функционала для работы с объектом управления.</w:t>
      </w:r>
    </w:p>
    <w:p w:rsidR="00000000" w:rsidDel="00000000" w:rsidP="00000000" w:rsidRDefault="00000000" w:rsidRPr="00000000" w14:paraId="00000058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spacing w:line="360" w:lineRule="auto"/>
        <w:ind w:firstLine="720"/>
        <w:jc w:val="both"/>
        <w:rPr/>
      </w:pPr>
      <w:bookmarkStart w:colFirst="0" w:colLast="0" w:name="_dcguwxzfmcjh" w:id="6"/>
      <w:bookmarkEnd w:id="6"/>
      <w:r w:rsidDel="00000000" w:rsidR="00000000" w:rsidRPr="00000000">
        <w:rPr>
          <w:rtl w:val="0"/>
        </w:rPr>
        <w:t xml:space="preserve">4.1. Цифровой двойник города</w:t>
      </w:r>
    </w:p>
    <w:p w:rsidR="00000000" w:rsidDel="00000000" w:rsidP="00000000" w:rsidRDefault="00000000" w:rsidRPr="00000000" w14:paraId="0000005A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Представляет собой виртуальную копию города в виде картографической основы (ортофотоплан) и трехмерной модели (облако точек), содержащую данные из источников о градостроительной деятельности, объектах недвижимости, инженерных инфраструктурах и т.д. Доступна выгрузка аналитических данных в формате Excel по земельным участкам с потенциальными объектами налогообложения.</w:t>
      </w:r>
    </w:p>
    <w:p w:rsidR="00000000" w:rsidDel="00000000" w:rsidP="00000000" w:rsidRDefault="00000000" w:rsidRPr="00000000" w14:paraId="0000005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spacing w:line="360" w:lineRule="auto"/>
        <w:ind w:firstLine="720"/>
        <w:jc w:val="both"/>
        <w:rPr/>
      </w:pPr>
      <w:bookmarkStart w:colFirst="0" w:colLast="0" w:name="_th7p5a3ggouu" w:id="7"/>
      <w:bookmarkEnd w:id="7"/>
      <w:r w:rsidDel="00000000" w:rsidR="00000000" w:rsidRPr="00000000">
        <w:rPr>
          <w:rtl w:val="0"/>
        </w:rPr>
        <w:t xml:space="preserve">4.2. Аналитическая информация</w:t>
      </w:r>
    </w:p>
    <w:p w:rsidR="00000000" w:rsidDel="00000000" w:rsidP="00000000" w:rsidRDefault="00000000" w:rsidRPr="00000000" w14:paraId="0000005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spacing w:line="360" w:lineRule="auto"/>
        <w:ind w:firstLine="720"/>
        <w:jc w:val="both"/>
        <w:rPr/>
      </w:pPr>
      <w:bookmarkStart w:colFirst="0" w:colLast="0" w:name="_ksajbp1pvnuv" w:id="8"/>
      <w:bookmarkEnd w:id="8"/>
      <w:r w:rsidDel="00000000" w:rsidR="00000000" w:rsidRPr="00000000">
        <w:rPr>
          <w:rtl w:val="0"/>
        </w:rPr>
        <w:t xml:space="preserve">4.2.1. Недропользование </w:t>
      </w:r>
    </w:p>
    <w:p w:rsidR="00000000" w:rsidDel="00000000" w:rsidP="00000000" w:rsidRDefault="00000000" w:rsidRPr="00000000" w14:paraId="0000005F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Содержит информацию о назначении использования земель (по договору) и фактическом использовании с классификацией по объектам недропользования (каменный уголь, золото, общераспространенные полезные ископаемые). В качестве вспомогательных слоев подключены действующие и аннулированные лицензии на недропользование. Доступна выгрузка аналитических данных в формате Excel по земельным участкам с подозрением на нецелевое использование.</w:t>
      </w:r>
    </w:p>
    <w:p w:rsidR="00000000" w:rsidDel="00000000" w:rsidP="00000000" w:rsidRDefault="00000000" w:rsidRPr="00000000" w14:paraId="00000060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spacing w:line="360" w:lineRule="auto"/>
        <w:ind w:firstLine="720"/>
        <w:jc w:val="both"/>
        <w:rPr/>
      </w:pPr>
      <w:bookmarkStart w:colFirst="0" w:colLast="0" w:name="_aey3pp297c7x" w:id="9"/>
      <w:bookmarkEnd w:id="9"/>
      <w:r w:rsidDel="00000000" w:rsidR="00000000" w:rsidRPr="00000000">
        <w:rPr>
          <w:rtl w:val="0"/>
        </w:rPr>
        <w:t xml:space="preserve">4.2.2. Лесопользование </w:t>
      </w:r>
    </w:p>
    <w:p w:rsidR="00000000" w:rsidDel="00000000" w:rsidP="00000000" w:rsidRDefault="00000000" w:rsidRPr="00000000" w14:paraId="00000062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Служит для выявления несоответствия между содержанием договоров на аренду лесных участков и их фактическим использованием, а также участков с убылью и приростом леса. Во вспомогательных слоях содержатся границы и информация о лесничествах и заповедниках, лесных участков, свободных от аренды, и арендованных. Доступна выгрузка аналитических данных в формате Excel по каждому лесничеству/заповеднику.</w:t>
      </w:r>
    </w:p>
    <w:p w:rsidR="00000000" w:rsidDel="00000000" w:rsidP="00000000" w:rsidRDefault="00000000" w:rsidRPr="00000000" w14:paraId="0000006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spacing w:line="360" w:lineRule="auto"/>
        <w:ind w:firstLine="720"/>
        <w:jc w:val="both"/>
        <w:rPr/>
      </w:pPr>
      <w:bookmarkStart w:colFirst="0" w:colLast="0" w:name="_31ebbbf85ihe" w:id="10"/>
      <w:bookmarkEnd w:id="10"/>
      <w:r w:rsidDel="00000000" w:rsidR="00000000" w:rsidRPr="00000000">
        <w:rPr>
          <w:rtl w:val="0"/>
        </w:rPr>
        <w:t xml:space="preserve">4.3. Оперативная информация</w:t>
      </w:r>
    </w:p>
    <w:p w:rsidR="00000000" w:rsidDel="00000000" w:rsidP="00000000" w:rsidRDefault="00000000" w:rsidRPr="00000000" w14:paraId="0000006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spacing w:line="360" w:lineRule="auto"/>
        <w:ind w:firstLine="720"/>
        <w:jc w:val="both"/>
        <w:rPr/>
      </w:pPr>
      <w:bookmarkStart w:colFirst="0" w:colLast="0" w:name="_qreobtlkupfh" w:id="11"/>
      <w:bookmarkEnd w:id="11"/>
      <w:r w:rsidDel="00000000" w:rsidR="00000000" w:rsidRPr="00000000">
        <w:rPr>
          <w:rtl w:val="0"/>
        </w:rPr>
        <w:t xml:space="preserve">4.3.1. Сейсмические события </w:t>
      </w:r>
    </w:p>
    <w:p w:rsidR="00000000" w:rsidDel="00000000" w:rsidP="00000000" w:rsidRDefault="00000000" w:rsidRPr="00000000" w14:paraId="00000067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блоке предоставлены актуальные данные о сейсмических событиях на карте области с указанием времени, магнитуды и типа сейсмособытия, а также есть возможность просмотреть архивные данные и сводную информацию о количестве промышленных взрывов и землетрясений по области.</w:t>
      </w:r>
    </w:p>
    <w:p w:rsidR="00000000" w:rsidDel="00000000" w:rsidP="00000000" w:rsidRDefault="00000000" w:rsidRPr="00000000" w14:paraId="00000068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spacing w:line="360" w:lineRule="auto"/>
        <w:ind w:firstLine="720"/>
        <w:jc w:val="both"/>
        <w:rPr/>
      </w:pPr>
      <w:bookmarkStart w:colFirst="0" w:colLast="0" w:name="_90fiktlvb9aa" w:id="12"/>
      <w:bookmarkEnd w:id="12"/>
      <w:r w:rsidDel="00000000" w:rsidR="00000000" w:rsidRPr="00000000">
        <w:rPr>
          <w:rtl w:val="0"/>
        </w:rPr>
        <w:t xml:space="preserve">4.3.2. Оперативная информация</w:t>
      </w:r>
    </w:p>
    <w:p w:rsidR="00000000" w:rsidDel="00000000" w:rsidP="00000000" w:rsidRDefault="00000000" w:rsidRPr="00000000" w14:paraId="0000006A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Пользователю доступны аналитическая информация в рамках проведенных исследований.</w:t>
      </w:r>
    </w:p>
    <w:p w:rsidR="00000000" w:rsidDel="00000000" w:rsidP="00000000" w:rsidRDefault="00000000" w:rsidRPr="00000000" w14:paraId="0000006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spacing w:line="360" w:lineRule="auto"/>
        <w:ind w:firstLine="720"/>
        <w:jc w:val="both"/>
        <w:rPr/>
      </w:pPr>
      <w:bookmarkStart w:colFirst="0" w:colLast="0" w:name="_fq9sr64ojs3i" w:id="13"/>
      <w:bookmarkEnd w:id="13"/>
      <w:r w:rsidDel="00000000" w:rsidR="00000000" w:rsidRPr="00000000">
        <w:rPr>
          <w:rtl w:val="0"/>
        </w:rPr>
        <w:t xml:space="preserve">4.3.3. Данные о составе воздуха</w:t>
      </w:r>
    </w:p>
    <w:p w:rsidR="00000000" w:rsidDel="00000000" w:rsidP="00000000" w:rsidRDefault="00000000" w:rsidRPr="00000000" w14:paraId="0000006D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блоке пользователю доступна актуальная информация по выбросам веществ в атмосферу в сопоставлении с предельно допустимой концентрацией. Данные предоставляют крупные промышленные предприятия области.</w:t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right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  <w:ind w:firstLine="72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firstLine="720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firstLine="720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